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6D1C19B8"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D85464">
        <w:rPr>
          <w:rFonts w:ascii="Garamond" w:hAnsi="Garamond" w:cs="Garamond"/>
          <w:b/>
          <w:bCs/>
          <w:sz w:val="28"/>
          <w:szCs w:val="28"/>
        </w:rPr>
        <w:t>145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752BEEE" w:rsidR="00486481" w:rsidRPr="00B12F9F" w:rsidRDefault="00AC7A28" w:rsidP="000200C4">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EE3A55">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3F51BC">
              <w:rPr>
                <w:rFonts w:ascii="Calibri" w:eastAsia="Calibri" w:hAnsi="Calibri" w:cs="Calibri"/>
                <w:b/>
                <w:bCs/>
                <w:sz w:val="22"/>
                <w:szCs w:val="22"/>
                <w:lang w:eastAsia="en-US"/>
              </w:rPr>
              <w:t xml:space="preserve">Taylor </w:t>
            </w:r>
            <w:r w:rsidR="00FA74E5">
              <w:rPr>
                <w:rFonts w:ascii="Calibri" w:eastAsia="Calibri" w:hAnsi="Calibri" w:cs="Calibri"/>
                <w:b/>
                <w:bCs/>
                <w:sz w:val="22"/>
                <w:szCs w:val="22"/>
                <w:lang w:eastAsia="en-US"/>
              </w:rPr>
              <w:t>&amp;</w:t>
            </w:r>
            <w:r w:rsidR="003F51BC">
              <w:rPr>
                <w:rFonts w:ascii="Calibri" w:eastAsia="Calibri" w:hAnsi="Calibri" w:cs="Calibri"/>
                <w:b/>
                <w:bCs/>
                <w:sz w:val="22"/>
                <w:szCs w:val="22"/>
                <w:lang w:eastAsia="en-US"/>
              </w:rPr>
              <w:t xml:space="preserve"> Francis</w:t>
            </w:r>
            <w:r w:rsidR="00F516EF" w:rsidRPr="00F516EF">
              <w:rPr>
                <w:rFonts w:ascii="Calibri" w:eastAsia="Calibri" w:hAnsi="Calibri" w:cs="Calibri"/>
                <w:b/>
                <w:bCs/>
                <w:sz w:val="22"/>
                <w:szCs w:val="22"/>
                <w:lang w:eastAsia="en-US"/>
              </w:rPr>
              <w:t xml:space="preserve"> </w:t>
            </w:r>
            <w:r w:rsidR="00FA74E5">
              <w:rPr>
                <w:rFonts w:ascii="Calibri" w:eastAsia="Calibri" w:hAnsi="Calibri" w:cs="Calibri"/>
                <w:b/>
                <w:bCs/>
                <w:sz w:val="22"/>
                <w:szCs w:val="22"/>
                <w:lang w:eastAsia="en-US"/>
              </w:rPr>
              <w:t xml:space="preserve">Group </w:t>
            </w:r>
            <w:r w:rsidR="002D4FC3">
              <w:rPr>
                <w:rFonts w:ascii="Calibri" w:eastAsia="Calibri" w:hAnsi="Calibri" w:cs="Calibri"/>
                <w:b/>
                <w:bCs/>
                <w:sz w:val="22"/>
                <w:szCs w:val="22"/>
                <w:lang w:eastAsia="en-US"/>
              </w:rPr>
              <w:t xml:space="preserve">dell’articolo </w:t>
            </w:r>
            <w:r w:rsidR="007D217A" w:rsidRPr="007D217A">
              <w:rPr>
                <w:rFonts w:ascii="Calibri" w:eastAsia="Calibri" w:hAnsi="Calibri" w:cs="Calibri"/>
                <w:b/>
                <w:bCs/>
                <w:sz w:val="22"/>
                <w:szCs w:val="22"/>
                <w:lang w:eastAsia="en-US"/>
              </w:rPr>
              <w:t>“</w:t>
            </w:r>
            <w:r w:rsidR="000200C4" w:rsidRPr="000200C4">
              <w:rPr>
                <w:rFonts w:ascii="Calibri" w:eastAsia="Calibri" w:hAnsi="Calibri" w:cs="Calibri"/>
                <w:b/>
                <w:bCs/>
                <w:sz w:val="22"/>
                <w:szCs w:val="22"/>
                <w:lang w:eastAsia="en-US"/>
              </w:rPr>
              <w:t>Modelling reveals the effect of climate</w:t>
            </w:r>
            <w:r w:rsidR="000200C4">
              <w:rPr>
                <w:rFonts w:ascii="Calibri" w:eastAsia="Calibri" w:hAnsi="Calibri" w:cs="Calibri"/>
                <w:b/>
                <w:bCs/>
                <w:sz w:val="22"/>
                <w:szCs w:val="22"/>
                <w:lang w:eastAsia="en-US"/>
              </w:rPr>
              <w:t xml:space="preserve"> </w:t>
            </w:r>
            <w:r w:rsidR="000200C4" w:rsidRPr="000200C4">
              <w:rPr>
                <w:rFonts w:ascii="Calibri" w:eastAsia="Calibri" w:hAnsi="Calibri" w:cs="Calibri"/>
                <w:b/>
                <w:bCs/>
                <w:sz w:val="22"/>
                <w:szCs w:val="22"/>
                <w:lang w:eastAsia="en-US"/>
              </w:rPr>
              <w:t>and land use change on Madagascars chameleons fauna</w:t>
            </w:r>
            <w:r w:rsidR="007D217A" w:rsidRPr="007D217A">
              <w:rPr>
                <w:rFonts w:ascii="Calibri" w:eastAsia="Calibri" w:hAnsi="Calibri" w:cs="Calibri"/>
                <w:b/>
                <w:bCs/>
                <w:sz w:val="22"/>
                <w:szCs w:val="22"/>
                <w:lang w:eastAsia="en-US"/>
              </w:rPr>
              <w:t>”</w:t>
            </w:r>
            <w:r w:rsidR="00FA74E5">
              <w:rPr>
                <w:rFonts w:ascii="Calibri" w:eastAsia="Calibri" w:hAnsi="Calibri" w:cs="Calibri"/>
                <w:b/>
                <w:bCs/>
                <w:sz w:val="22"/>
                <w:szCs w:val="22"/>
                <w:lang w:eastAsia="en-US"/>
              </w:rPr>
              <w:t xml:space="preserve"> sulla rivista </w:t>
            </w:r>
            <w:r w:rsidR="00F36A30" w:rsidRPr="00F36A30">
              <w:rPr>
                <w:rFonts w:ascii="Calibri" w:eastAsia="Calibri" w:hAnsi="Calibri" w:cs="Calibri"/>
                <w:b/>
                <w:bCs/>
                <w:sz w:val="22"/>
                <w:szCs w:val="22"/>
                <w:lang w:eastAsia="en-US"/>
              </w:rPr>
              <w:t>Communications</w:t>
            </w:r>
            <w:r w:rsidR="00F36A30">
              <w:rPr>
                <w:rFonts w:ascii="Calibri" w:eastAsia="Calibri" w:hAnsi="Calibri" w:cs="Calibri"/>
                <w:b/>
                <w:bCs/>
                <w:sz w:val="22"/>
                <w:szCs w:val="22"/>
                <w:lang w:eastAsia="en-US"/>
              </w:rPr>
              <w:t xml:space="preserve"> </w:t>
            </w:r>
            <w:r w:rsidR="00F36A30" w:rsidRPr="00F36A30">
              <w:rPr>
                <w:rFonts w:ascii="Calibri" w:eastAsia="Calibri" w:hAnsi="Calibri" w:cs="Calibri"/>
                <w:b/>
                <w:bCs/>
                <w:sz w:val="22"/>
                <w:szCs w:val="22"/>
                <w:lang w:eastAsia="en-US"/>
              </w:rPr>
              <w:t xml:space="preserve">Biology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w:t>
            </w:r>
            <w:r w:rsidR="002E2DF1">
              <w:rPr>
                <w:rFonts w:ascii="Calibri" w:eastAsia="Calibri" w:hAnsi="Calibri" w:cs="Calibri"/>
                <w:b/>
                <w:bCs/>
                <w:sz w:val="22"/>
                <w:szCs w:val="22"/>
                <w:lang w:eastAsia="en-US"/>
              </w:rPr>
              <w:t xml:space="preserve">n. </w:t>
            </w:r>
            <w:r w:rsidR="00B12F9F" w:rsidRPr="00B12F9F">
              <w:rPr>
                <w:rFonts w:ascii="Calibri" w:eastAsia="Calibri" w:hAnsi="Calibri" w:cs="Calibri"/>
                <w:b/>
                <w:bCs/>
                <w:sz w:val="22"/>
                <w:szCs w:val="22"/>
                <w:lang w:eastAsia="en-US"/>
              </w:rPr>
              <w:t>2939706217</w:t>
            </w:r>
            <w:r w:rsidR="002E2DF1">
              <w:rPr>
                <w:rFonts w:ascii="Calibri" w:eastAsia="Calibri" w:hAnsi="Calibri" w:cs="Calibri"/>
                <w:b/>
                <w:bCs/>
                <w:sz w:val="22"/>
                <w:szCs w:val="22"/>
                <w:lang w:eastAsia="en-US"/>
              </w:rPr>
              <w:t xml:space="preserve"> </w:t>
            </w:r>
            <w:r w:rsidR="004D68E7">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B55503">
              <w:rPr>
                <w:rFonts w:ascii="Calibri" w:eastAsia="Calibri" w:hAnsi="Calibri" w:cs="Calibri"/>
                <w:b/>
                <w:bCs/>
                <w:sz w:val="22"/>
                <w:szCs w:val="22"/>
                <w:lang w:eastAsia="en-US"/>
              </w:rPr>
              <w:t>2</w:t>
            </w:r>
            <w:r w:rsidR="00BB7F1D">
              <w:rPr>
                <w:rFonts w:ascii="Calibri" w:eastAsia="Calibri" w:hAnsi="Calibri" w:cs="Calibri"/>
                <w:b/>
                <w:bCs/>
                <w:sz w:val="22"/>
                <w:szCs w:val="22"/>
                <w:lang w:eastAsia="en-US"/>
              </w:rPr>
              <w:t>2</w:t>
            </w:r>
            <w:r w:rsidR="00E25B5E">
              <w:rPr>
                <w:rFonts w:ascii="Calibri" w:eastAsia="Calibri" w:hAnsi="Calibri" w:cs="Calibri"/>
                <w:b/>
                <w:bCs/>
                <w:sz w:val="22"/>
                <w:szCs w:val="22"/>
                <w:lang w:eastAsia="en-US"/>
              </w:rPr>
              <w:t>/</w:t>
            </w:r>
            <w:r w:rsidR="007D217A">
              <w:rPr>
                <w:rFonts w:ascii="Calibri" w:eastAsia="Calibri" w:hAnsi="Calibri" w:cs="Calibri"/>
                <w:b/>
                <w:bCs/>
                <w:sz w:val="22"/>
                <w:szCs w:val="22"/>
                <w:lang w:eastAsia="en-US"/>
              </w:rPr>
              <w:t>0</w:t>
            </w:r>
            <w:r w:rsidR="00BB7F1D">
              <w:rPr>
                <w:rFonts w:ascii="Calibri" w:eastAsia="Calibri" w:hAnsi="Calibri" w:cs="Calibri"/>
                <w:b/>
                <w:bCs/>
                <w:sz w:val="22"/>
                <w:szCs w:val="22"/>
                <w:lang w:eastAsia="en-US"/>
              </w:rPr>
              <w:t>7</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7D217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857209">
              <w:rPr>
                <w:rFonts w:ascii="Calibri" w:eastAsia="Calibri" w:hAnsi="Calibri" w:cs="Calibri"/>
                <w:b/>
                <w:bCs/>
                <w:sz w:val="22"/>
                <w:szCs w:val="22"/>
                <w:lang w:eastAsia="en-US"/>
              </w:rPr>
              <w:t xml:space="preserve">Prof. </w:t>
            </w:r>
            <w:r w:rsidR="00774F60">
              <w:rPr>
                <w:rFonts w:ascii="Calibri" w:eastAsia="Calibri" w:hAnsi="Calibri" w:cs="Calibri"/>
                <w:b/>
                <w:bCs/>
                <w:sz w:val="22"/>
                <w:szCs w:val="22"/>
                <w:lang w:eastAsia="en-US"/>
              </w:rPr>
              <w:t>Pasquale Raia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0200C4">
              <w:rPr>
                <w:rFonts w:ascii="Calibri" w:eastAsia="Calibri" w:hAnsi="Calibri" w:cs="Calibri"/>
                <w:b/>
                <w:bCs/>
                <w:sz w:val="22"/>
                <w:szCs w:val="22"/>
                <w:lang w:eastAsia="en-US"/>
              </w:rPr>
              <w:t>2</w:t>
            </w:r>
            <w:r w:rsidR="00EB2474">
              <w:rPr>
                <w:rFonts w:ascii="Calibri" w:eastAsia="Calibri" w:hAnsi="Calibri" w:cs="Calibri"/>
                <w:b/>
                <w:bCs/>
                <w:sz w:val="22"/>
                <w:szCs w:val="22"/>
                <w:lang w:eastAsia="en-US"/>
              </w:rPr>
              <w:t>.6</w:t>
            </w:r>
            <w:r w:rsidR="000200C4">
              <w:rPr>
                <w:rFonts w:ascii="Calibri" w:eastAsia="Calibri" w:hAnsi="Calibri" w:cs="Calibri"/>
                <w:b/>
                <w:bCs/>
                <w:sz w:val="22"/>
                <w:szCs w:val="22"/>
                <w:lang w:eastAsia="en-US"/>
              </w:rPr>
              <w:t>87</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A347CE" w:rsidRPr="00A347CE">
              <w:rPr>
                <w:rFonts w:ascii="Calibri" w:eastAsia="Calibri" w:hAnsi="Calibri" w:cs="Calibri"/>
                <w:b/>
                <w:bCs/>
                <w:sz w:val="22"/>
                <w:szCs w:val="22"/>
                <w:lang w:eastAsia="en-US"/>
              </w:rPr>
              <w:t>B2935F7CE0</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0200C4">
            <w:pPr>
              <w:suppressAutoHyphens/>
              <w:spacing w:before="120" w:after="120"/>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1A221213"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 xml:space="preserve">al </w:t>
            </w:r>
            <w:r w:rsidR="001B067E">
              <w:rPr>
                <w:rFonts w:ascii="Calibri" w:eastAsia="Calibri" w:hAnsi="Calibri" w:cs="Calibri"/>
                <w:bCs/>
                <w:sz w:val="22"/>
                <w:szCs w:val="22"/>
                <w:lang w:eastAsia="en-US"/>
              </w:rPr>
              <w:t xml:space="preserve">Prof. </w:t>
            </w:r>
            <w:r w:rsidR="00774F60">
              <w:rPr>
                <w:rFonts w:ascii="Calibri" w:eastAsia="Calibri" w:hAnsi="Calibri" w:cs="Calibri"/>
                <w:bCs/>
                <w:sz w:val="22"/>
                <w:szCs w:val="22"/>
                <w:lang w:eastAsia="en-US"/>
              </w:rPr>
              <w:t>Pasquale Raia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4E253C2"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 xml:space="preserve">Prof. </w:t>
            </w:r>
            <w:r w:rsidR="00774F60">
              <w:rPr>
                <w:rFonts w:ascii="Calibri" w:eastAsia="Calibri" w:hAnsi="Calibri" w:cs="Calibri"/>
                <w:bCs/>
                <w:sz w:val="22"/>
                <w:szCs w:val="22"/>
                <w:lang w:eastAsia="en-US"/>
              </w:rPr>
              <w:t>Pasquale Raia</w:t>
            </w:r>
            <w:r w:rsidR="0077405B" w:rsidRPr="00C65AD4">
              <w:rPr>
                <w:rFonts w:ascii="Calibri" w:eastAsia="Calibri" w:hAnsi="Calibri" w:cs="Calibri"/>
                <w:bCs/>
                <w:sz w:val="22"/>
                <w:szCs w:val="22"/>
                <w:lang w:eastAsia="en-US"/>
              </w:rPr>
              <w:t xml:space="preserve"> (mail del </w:t>
            </w:r>
            <w:r w:rsidR="001560FC">
              <w:rPr>
                <w:rFonts w:ascii="Calibri" w:eastAsia="Calibri" w:hAnsi="Calibri" w:cs="Calibri"/>
                <w:bCs/>
                <w:sz w:val="22"/>
                <w:szCs w:val="22"/>
                <w:lang w:eastAsia="en-US"/>
              </w:rPr>
              <w:t>2</w:t>
            </w:r>
            <w:r w:rsidR="00A347CE">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1098D">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BE315C3"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035379" w:rsidRPr="00035379">
              <w:rPr>
                <w:rFonts w:ascii="Calibri" w:eastAsia="Calibri" w:hAnsi="Calibri" w:cs="Calibri"/>
                <w:b/>
                <w:bCs/>
                <w:sz w:val="22"/>
                <w:szCs w:val="22"/>
                <w:lang w:eastAsia="en-US"/>
              </w:rPr>
              <w:t>SPRINGER NATURE CUSTOMER SERVICE</w:t>
            </w:r>
            <w:r w:rsidR="00035379">
              <w:rPr>
                <w:rFonts w:ascii="Calibri" w:eastAsia="Calibri" w:hAnsi="Calibri" w:cs="Calibri"/>
                <w:b/>
                <w:bCs/>
                <w:sz w:val="22"/>
                <w:szCs w:val="22"/>
                <w:lang w:eastAsia="en-US"/>
              </w:rPr>
              <w:t xml:space="preserve"> </w:t>
            </w:r>
            <w:r w:rsidR="00035379" w:rsidRPr="00035379">
              <w:rPr>
                <w:rFonts w:ascii="Calibri" w:eastAsia="Calibri" w:hAnsi="Calibri" w:cs="Calibri"/>
                <w:b/>
                <w:bCs/>
                <w:sz w:val="22"/>
                <w:szCs w:val="22"/>
                <w:lang w:eastAsia="en-US"/>
              </w:rPr>
              <w:t>CENTER GMBH</w:t>
            </w:r>
            <w:r w:rsidR="00035379">
              <w:rPr>
                <w:rFonts w:ascii="Calibri" w:eastAsia="Calibri" w:hAnsi="Calibri" w:cs="Calibri"/>
                <w:b/>
                <w:bCs/>
                <w:sz w:val="22"/>
                <w:szCs w:val="22"/>
                <w:lang w:eastAsia="en-US"/>
              </w:rPr>
              <w:t xml:space="preserve"> </w:t>
            </w:r>
            <w:r w:rsidR="00035379" w:rsidRPr="00035379">
              <w:rPr>
                <w:rFonts w:ascii="Calibri" w:eastAsia="Calibri" w:hAnsi="Calibri" w:cs="Calibri"/>
                <w:b/>
                <w:bCs/>
                <w:sz w:val="22"/>
                <w:szCs w:val="22"/>
                <w:lang w:eastAsia="en-US"/>
              </w:rPr>
              <w:t>TIERGARTENSTRASSE,15-17</w:t>
            </w:r>
            <w:r w:rsidR="00035379">
              <w:rPr>
                <w:rFonts w:ascii="Calibri" w:eastAsia="Calibri" w:hAnsi="Calibri" w:cs="Calibri"/>
                <w:b/>
                <w:bCs/>
                <w:sz w:val="22"/>
                <w:szCs w:val="22"/>
                <w:lang w:eastAsia="en-US"/>
              </w:rPr>
              <w:t xml:space="preserve"> - </w:t>
            </w:r>
            <w:r w:rsidR="00035379" w:rsidRPr="00035379">
              <w:rPr>
                <w:rFonts w:ascii="Calibri" w:eastAsia="Calibri" w:hAnsi="Calibri" w:cs="Calibri"/>
                <w:b/>
                <w:bCs/>
                <w:sz w:val="22"/>
                <w:szCs w:val="22"/>
                <w:lang w:eastAsia="en-US"/>
              </w:rPr>
              <w:t>D-69121 HEIDELBERG (EE) GERMANIAC</w:t>
            </w:r>
            <w:r w:rsidR="00035379">
              <w:rPr>
                <w:rFonts w:ascii="Calibri" w:eastAsia="Calibri" w:hAnsi="Calibri" w:cs="Calibri"/>
                <w:b/>
                <w:bCs/>
                <w:sz w:val="22"/>
                <w:szCs w:val="22"/>
                <w:lang w:eastAsia="en-US"/>
              </w:rPr>
              <w:t xml:space="preserve"> - </w:t>
            </w:r>
            <w:r w:rsidR="00035379" w:rsidRPr="00035379">
              <w:rPr>
                <w:rFonts w:ascii="Calibri" w:eastAsia="Calibri" w:hAnsi="Calibri" w:cs="Calibri"/>
                <w:b/>
                <w:bCs/>
                <w:sz w:val="22"/>
                <w:szCs w:val="22"/>
                <w:lang w:eastAsia="en-US"/>
              </w:rPr>
              <w:t xml:space="preserve">P.IVA DEDE209719094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509D1F25"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035379" w:rsidRPr="00EC79E4">
        <w:rPr>
          <w:rFonts w:ascii="Calibri" w:eastAsia="Calibri" w:hAnsi="Calibri" w:cs="Calibri"/>
          <w:b/>
          <w:bCs/>
          <w:sz w:val="22"/>
          <w:szCs w:val="22"/>
          <w:lang w:eastAsia="en-US"/>
        </w:rPr>
        <w:t xml:space="preserve">spese </w:t>
      </w:r>
      <w:r w:rsidR="00035379">
        <w:rPr>
          <w:rFonts w:ascii="Calibri" w:eastAsia="Calibri" w:hAnsi="Calibri" w:cs="Calibri"/>
          <w:b/>
          <w:bCs/>
          <w:sz w:val="22"/>
          <w:szCs w:val="22"/>
          <w:lang w:eastAsia="en-US"/>
        </w:rPr>
        <w:t>relative ad una pubblicazione su rivista scientifica internazionale Taylor &amp; Francis</w:t>
      </w:r>
      <w:r w:rsidR="00035379" w:rsidRPr="00F516EF">
        <w:rPr>
          <w:rFonts w:ascii="Calibri" w:eastAsia="Calibri" w:hAnsi="Calibri" w:cs="Calibri"/>
          <w:b/>
          <w:bCs/>
          <w:sz w:val="22"/>
          <w:szCs w:val="22"/>
          <w:lang w:eastAsia="en-US"/>
        </w:rPr>
        <w:t xml:space="preserve"> </w:t>
      </w:r>
      <w:r w:rsidR="00035379">
        <w:rPr>
          <w:rFonts w:ascii="Calibri" w:eastAsia="Calibri" w:hAnsi="Calibri" w:cs="Calibri"/>
          <w:b/>
          <w:bCs/>
          <w:sz w:val="22"/>
          <w:szCs w:val="22"/>
          <w:lang w:eastAsia="en-US"/>
        </w:rPr>
        <w:t xml:space="preserve">Group dell’articolo </w:t>
      </w:r>
      <w:r w:rsidR="00035379" w:rsidRPr="007D217A">
        <w:rPr>
          <w:rFonts w:ascii="Calibri" w:eastAsia="Calibri" w:hAnsi="Calibri" w:cs="Calibri"/>
          <w:b/>
          <w:bCs/>
          <w:sz w:val="22"/>
          <w:szCs w:val="22"/>
          <w:lang w:eastAsia="en-US"/>
        </w:rPr>
        <w:t>“</w:t>
      </w:r>
      <w:r w:rsidR="00035379" w:rsidRPr="000200C4">
        <w:rPr>
          <w:rFonts w:ascii="Calibri" w:eastAsia="Calibri" w:hAnsi="Calibri" w:cs="Calibri"/>
          <w:b/>
          <w:bCs/>
          <w:sz w:val="22"/>
          <w:szCs w:val="22"/>
          <w:lang w:eastAsia="en-US"/>
        </w:rPr>
        <w:t>Modelling reveals the effect of climate</w:t>
      </w:r>
      <w:r w:rsidR="00035379">
        <w:rPr>
          <w:rFonts w:ascii="Calibri" w:eastAsia="Calibri" w:hAnsi="Calibri" w:cs="Calibri"/>
          <w:b/>
          <w:bCs/>
          <w:sz w:val="22"/>
          <w:szCs w:val="22"/>
          <w:lang w:eastAsia="en-US"/>
        </w:rPr>
        <w:t xml:space="preserve"> </w:t>
      </w:r>
      <w:r w:rsidR="00035379" w:rsidRPr="000200C4">
        <w:rPr>
          <w:rFonts w:ascii="Calibri" w:eastAsia="Calibri" w:hAnsi="Calibri" w:cs="Calibri"/>
          <w:b/>
          <w:bCs/>
          <w:sz w:val="22"/>
          <w:szCs w:val="22"/>
          <w:lang w:eastAsia="en-US"/>
        </w:rPr>
        <w:t>and land use change on Madagascars chameleons fauna</w:t>
      </w:r>
      <w:r w:rsidR="00035379" w:rsidRPr="007D217A">
        <w:rPr>
          <w:rFonts w:ascii="Calibri" w:eastAsia="Calibri" w:hAnsi="Calibri" w:cs="Calibri"/>
          <w:b/>
          <w:bCs/>
          <w:sz w:val="22"/>
          <w:szCs w:val="22"/>
          <w:lang w:eastAsia="en-US"/>
        </w:rPr>
        <w:t>”</w:t>
      </w:r>
      <w:r w:rsidR="00035379">
        <w:rPr>
          <w:rFonts w:ascii="Calibri" w:eastAsia="Calibri" w:hAnsi="Calibri" w:cs="Calibri"/>
          <w:b/>
          <w:bCs/>
          <w:sz w:val="22"/>
          <w:szCs w:val="22"/>
          <w:lang w:eastAsia="en-US"/>
        </w:rPr>
        <w:t xml:space="preserve"> sulla rivista </w:t>
      </w:r>
      <w:r w:rsidR="00035379" w:rsidRPr="00F36A30">
        <w:rPr>
          <w:rFonts w:ascii="Calibri" w:eastAsia="Calibri" w:hAnsi="Calibri" w:cs="Calibri"/>
          <w:b/>
          <w:bCs/>
          <w:sz w:val="22"/>
          <w:szCs w:val="22"/>
          <w:lang w:eastAsia="en-US"/>
        </w:rPr>
        <w:t>Communications</w:t>
      </w:r>
      <w:r w:rsidR="00035379">
        <w:rPr>
          <w:rFonts w:ascii="Calibri" w:eastAsia="Calibri" w:hAnsi="Calibri" w:cs="Calibri"/>
          <w:b/>
          <w:bCs/>
          <w:sz w:val="22"/>
          <w:szCs w:val="22"/>
          <w:lang w:eastAsia="en-US"/>
        </w:rPr>
        <w:t xml:space="preserve"> </w:t>
      </w:r>
      <w:r w:rsidR="00035379" w:rsidRPr="00F36A30">
        <w:rPr>
          <w:rFonts w:ascii="Calibri" w:eastAsia="Calibri" w:hAnsi="Calibri" w:cs="Calibri"/>
          <w:b/>
          <w:bCs/>
          <w:sz w:val="22"/>
          <w:szCs w:val="22"/>
          <w:lang w:eastAsia="en-US"/>
        </w:rPr>
        <w:t xml:space="preserve">Biology </w:t>
      </w:r>
      <w:r w:rsidR="00035379" w:rsidRPr="00EC79E4">
        <w:rPr>
          <w:rFonts w:ascii="Calibri" w:eastAsia="Calibri" w:hAnsi="Calibri" w:cs="Calibri"/>
          <w:b/>
          <w:bCs/>
          <w:sz w:val="22"/>
          <w:szCs w:val="22"/>
          <w:lang w:eastAsia="en-US"/>
        </w:rPr>
        <w:t>–</w:t>
      </w:r>
      <w:r w:rsidR="00035379">
        <w:rPr>
          <w:rFonts w:ascii="Calibri" w:eastAsia="Calibri" w:hAnsi="Calibri" w:cs="Calibri"/>
          <w:b/>
          <w:bCs/>
          <w:sz w:val="22"/>
          <w:szCs w:val="22"/>
          <w:lang w:eastAsia="en-US"/>
        </w:rPr>
        <w:t xml:space="preserve"> Pro Forma n. </w:t>
      </w:r>
      <w:r w:rsidR="00035379" w:rsidRPr="00B12F9F">
        <w:rPr>
          <w:rFonts w:ascii="Calibri" w:eastAsia="Calibri" w:hAnsi="Calibri" w:cs="Calibri"/>
          <w:b/>
          <w:bCs/>
          <w:sz w:val="22"/>
          <w:szCs w:val="22"/>
          <w:lang w:eastAsia="en-US"/>
        </w:rPr>
        <w:t>2939706217</w:t>
      </w:r>
      <w:r w:rsidR="00035379">
        <w:rPr>
          <w:rFonts w:ascii="Calibri" w:eastAsia="Calibri" w:hAnsi="Calibri" w:cs="Calibri"/>
          <w:b/>
          <w:bCs/>
          <w:sz w:val="22"/>
          <w:szCs w:val="22"/>
          <w:lang w:eastAsia="en-US"/>
        </w:rPr>
        <w:t xml:space="preserve"> del 22/07/2024 –</w:t>
      </w:r>
      <w:r w:rsidR="00035379" w:rsidRPr="00EC79E4">
        <w:rPr>
          <w:rFonts w:ascii="Calibri" w:eastAsia="Calibri" w:hAnsi="Calibri" w:cs="Calibri"/>
          <w:b/>
          <w:bCs/>
          <w:sz w:val="22"/>
          <w:szCs w:val="22"/>
          <w:lang w:eastAsia="en-US"/>
        </w:rPr>
        <w:t xml:space="preserve"> </w:t>
      </w:r>
      <w:r w:rsidR="00035379">
        <w:rPr>
          <w:rFonts w:ascii="Calibri" w:eastAsia="Calibri" w:hAnsi="Calibri" w:cs="Calibri"/>
          <w:b/>
          <w:bCs/>
          <w:sz w:val="22"/>
          <w:szCs w:val="22"/>
          <w:lang w:eastAsia="en-US"/>
        </w:rPr>
        <w:t>Prof. Pasquale Raia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035379" w:rsidRPr="00035379">
        <w:rPr>
          <w:rFonts w:ascii="Calibri" w:eastAsia="Calibri" w:hAnsi="Calibri" w:cs="Calibri"/>
          <w:b/>
          <w:bCs/>
          <w:sz w:val="22"/>
          <w:szCs w:val="22"/>
          <w:lang w:eastAsia="en-US"/>
        </w:rPr>
        <w:t>SPRINGER NATURE CUSTOMER SERVICE</w:t>
      </w:r>
      <w:r w:rsidR="00035379">
        <w:rPr>
          <w:rFonts w:ascii="Calibri" w:eastAsia="Calibri" w:hAnsi="Calibri" w:cs="Calibri"/>
          <w:b/>
          <w:bCs/>
          <w:sz w:val="22"/>
          <w:szCs w:val="22"/>
          <w:lang w:eastAsia="en-US"/>
        </w:rPr>
        <w:t xml:space="preserve"> </w:t>
      </w:r>
      <w:r w:rsidR="00035379" w:rsidRPr="00035379">
        <w:rPr>
          <w:rFonts w:ascii="Calibri" w:eastAsia="Calibri" w:hAnsi="Calibri" w:cs="Calibri"/>
          <w:b/>
          <w:bCs/>
          <w:sz w:val="22"/>
          <w:szCs w:val="22"/>
          <w:lang w:eastAsia="en-US"/>
        </w:rPr>
        <w:t>CENTER GMBH</w:t>
      </w:r>
      <w:r w:rsidR="00035379">
        <w:rPr>
          <w:rFonts w:ascii="Calibri" w:eastAsia="Calibri" w:hAnsi="Calibri" w:cs="Calibri"/>
          <w:b/>
          <w:bCs/>
          <w:sz w:val="22"/>
          <w:szCs w:val="22"/>
          <w:lang w:eastAsia="en-US"/>
        </w:rPr>
        <w:t xml:space="preserve"> </w:t>
      </w:r>
      <w:r w:rsidR="00035379" w:rsidRPr="00035379">
        <w:rPr>
          <w:rFonts w:ascii="Calibri" w:eastAsia="Calibri" w:hAnsi="Calibri" w:cs="Calibri"/>
          <w:b/>
          <w:bCs/>
          <w:sz w:val="22"/>
          <w:szCs w:val="22"/>
          <w:lang w:eastAsia="en-US"/>
        </w:rPr>
        <w:t>TIERGARTENSTRASSE,15-17</w:t>
      </w:r>
      <w:r w:rsidR="00035379">
        <w:rPr>
          <w:rFonts w:ascii="Calibri" w:eastAsia="Calibri" w:hAnsi="Calibri" w:cs="Calibri"/>
          <w:b/>
          <w:bCs/>
          <w:sz w:val="22"/>
          <w:szCs w:val="22"/>
          <w:lang w:eastAsia="en-US"/>
        </w:rPr>
        <w:t xml:space="preserve"> - </w:t>
      </w:r>
      <w:r w:rsidR="00035379" w:rsidRPr="00035379">
        <w:rPr>
          <w:rFonts w:ascii="Calibri" w:eastAsia="Calibri" w:hAnsi="Calibri" w:cs="Calibri"/>
          <w:b/>
          <w:bCs/>
          <w:sz w:val="22"/>
          <w:szCs w:val="22"/>
          <w:lang w:eastAsia="en-US"/>
        </w:rPr>
        <w:t>D-69121 HEIDELBERG (EE) GERMANIAC</w:t>
      </w:r>
      <w:r w:rsidR="00035379">
        <w:rPr>
          <w:rFonts w:ascii="Calibri" w:eastAsia="Calibri" w:hAnsi="Calibri" w:cs="Calibri"/>
          <w:b/>
          <w:bCs/>
          <w:sz w:val="22"/>
          <w:szCs w:val="22"/>
          <w:lang w:eastAsia="en-US"/>
        </w:rPr>
        <w:t xml:space="preserve"> - </w:t>
      </w:r>
      <w:r w:rsidR="00035379" w:rsidRPr="00035379">
        <w:rPr>
          <w:rFonts w:ascii="Calibri" w:eastAsia="Calibri" w:hAnsi="Calibri" w:cs="Calibri"/>
          <w:b/>
          <w:bCs/>
          <w:sz w:val="22"/>
          <w:szCs w:val="22"/>
          <w:lang w:eastAsia="en-US"/>
        </w:rPr>
        <w:t>P.IVA DEDE209719094</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66780E">
        <w:rPr>
          <w:rFonts w:ascii="Calibri" w:eastAsia="Calibri" w:hAnsi="Calibri" w:cs="Calibri"/>
          <w:bCs/>
          <w:sz w:val="22"/>
          <w:szCs w:val="22"/>
          <w:lang w:eastAsia="en-US"/>
        </w:rPr>
        <w:t>3</w:t>
      </w:r>
      <w:r w:rsidR="005B1566" w:rsidRPr="005B1566">
        <w:rPr>
          <w:rFonts w:ascii="Calibri" w:eastAsia="Calibri" w:hAnsi="Calibri" w:cs="Calibri"/>
          <w:bCs/>
          <w:sz w:val="22"/>
          <w:szCs w:val="22"/>
          <w:lang w:eastAsia="en-US"/>
        </w:rPr>
        <w:t>.</w:t>
      </w:r>
      <w:r w:rsidR="0066780E">
        <w:rPr>
          <w:rFonts w:ascii="Calibri" w:eastAsia="Calibri" w:hAnsi="Calibri" w:cs="Calibri"/>
          <w:bCs/>
          <w:sz w:val="22"/>
          <w:szCs w:val="22"/>
          <w:lang w:eastAsia="en-US"/>
        </w:rPr>
        <w:t>278</w:t>
      </w:r>
      <w:r w:rsidR="005B1566">
        <w:rPr>
          <w:rFonts w:ascii="Calibri" w:eastAsia="Calibri" w:hAnsi="Calibri" w:cs="Calibri"/>
          <w:bCs/>
          <w:sz w:val="22"/>
          <w:szCs w:val="22"/>
          <w:lang w:eastAsia="en-US"/>
        </w:rPr>
        <w:t>,</w:t>
      </w:r>
      <w:r w:rsidR="0066780E">
        <w:rPr>
          <w:rFonts w:ascii="Calibri" w:eastAsia="Calibri" w:hAnsi="Calibri" w:cs="Calibri"/>
          <w:bCs/>
          <w:sz w:val="22"/>
          <w:szCs w:val="22"/>
          <w:lang w:eastAsia="en-US"/>
        </w:rPr>
        <w:t>14</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B673CA">
        <w:rPr>
          <w:rFonts w:ascii="Calibri" w:eastAsia="Calibri" w:hAnsi="Calibri" w:cs="Calibri"/>
          <w:bCs/>
          <w:sz w:val="22"/>
          <w:szCs w:val="22"/>
          <w:lang w:eastAsia="en-US"/>
        </w:rPr>
        <w:t>591</w:t>
      </w:r>
      <w:r w:rsidR="00CE5C2B">
        <w:rPr>
          <w:rFonts w:ascii="Calibri" w:eastAsia="Calibri" w:hAnsi="Calibri" w:cs="Calibri"/>
          <w:bCs/>
          <w:sz w:val="22"/>
          <w:szCs w:val="22"/>
          <w:lang w:eastAsia="en-US"/>
        </w:rPr>
        <w:t>,</w:t>
      </w:r>
      <w:r w:rsidR="00B673CA">
        <w:rPr>
          <w:rFonts w:ascii="Calibri" w:eastAsia="Calibri" w:hAnsi="Calibri" w:cs="Calibri"/>
          <w:bCs/>
          <w:sz w:val="22"/>
          <w:szCs w:val="22"/>
          <w:lang w:eastAsia="en-US"/>
        </w:rPr>
        <w:t>14</w:t>
      </w:r>
      <w:r w:rsidR="003430FC">
        <w:rPr>
          <w:rFonts w:ascii="Calibri" w:eastAsia="Calibri" w:hAnsi="Calibri" w:cs="Calibri"/>
          <w:bCs/>
          <w:sz w:val="22"/>
          <w:szCs w:val="22"/>
          <w:lang w:eastAsia="en-US"/>
        </w:rPr>
        <w:t>;</w:t>
      </w:r>
    </w:p>
    <w:p w14:paraId="54260DDD" w14:textId="31447CF2" w:rsidR="00486481" w:rsidRPr="00F83D76" w:rsidRDefault="00486481" w:rsidP="00553039">
      <w:pPr>
        <w:numPr>
          <w:ilvl w:val="0"/>
          <w:numId w:val="16"/>
        </w:numPr>
        <w:suppressAutoHyphens/>
        <w:spacing w:before="120" w:after="120"/>
        <w:jc w:val="both"/>
        <w:rPr>
          <w:rFonts w:ascii="Calibri" w:eastAsia="Calibri" w:hAnsi="Calibri" w:cs="Calibri"/>
          <w:bCs/>
          <w:sz w:val="22"/>
          <w:szCs w:val="22"/>
          <w:lang w:eastAsia="en-US"/>
        </w:rPr>
      </w:pPr>
      <w:r w:rsidRPr="00F83D76">
        <w:rPr>
          <w:rFonts w:ascii="Calibri" w:eastAsia="Calibri" w:hAnsi="Calibri" w:cs="Calibri"/>
          <w:bCs/>
          <w:sz w:val="22"/>
          <w:szCs w:val="22"/>
          <w:lang w:eastAsia="en-US"/>
        </w:rPr>
        <w:t>di autorizzare l’assunzione del relativo impegno di spesa, da imputare sul Progetto:</w:t>
      </w:r>
      <w:r w:rsidR="00BC1E8B" w:rsidRPr="00F83D76">
        <w:rPr>
          <w:rFonts w:ascii="Calibri" w:eastAsia="Calibri" w:hAnsi="Calibri" w:cs="Calibri"/>
          <w:bCs/>
          <w:sz w:val="22"/>
          <w:szCs w:val="22"/>
          <w:lang w:eastAsia="en-US"/>
        </w:rPr>
        <w:t xml:space="preserve"> id. </w:t>
      </w:r>
      <w:r w:rsidR="00543637">
        <w:rPr>
          <w:rFonts w:ascii="Calibri" w:eastAsia="Calibri" w:hAnsi="Calibri" w:cs="Calibri"/>
          <w:bCs/>
          <w:sz w:val="22"/>
          <w:szCs w:val="22"/>
          <w:lang w:eastAsia="en-US"/>
        </w:rPr>
        <w:t>58204</w:t>
      </w:r>
      <w:r w:rsidR="004C11FA" w:rsidRPr="00F83D76">
        <w:rPr>
          <w:rFonts w:ascii="Calibri" w:eastAsia="Calibri" w:hAnsi="Calibri" w:cs="Calibri"/>
          <w:bCs/>
          <w:sz w:val="22"/>
          <w:szCs w:val="22"/>
          <w:lang w:eastAsia="en-US"/>
        </w:rPr>
        <w:t xml:space="preserve"> </w:t>
      </w:r>
      <w:r w:rsidR="00543637" w:rsidRPr="00543637">
        <w:rPr>
          <w:rFonts w:ascii="Calibri" w:eastAsia="Calibri" w:hAnsi="Calibri" w:cs="Calibri"/>
          <w:bCs/>
          <w:sz w:val="22"/>
          <w:szCs w:val="22"/>
          <w:lang w:eastAsia="en-US"/>
        </w:rPr>
        <w:t>000024_ALTRI__CdA_101_2022_FRA_RAIA</w:t>
      </w:r>
      <w:r w:rsidR="00993096">
        <w:rPr>
          <w:rFonts w:ascii="Calibri" w:eastAsia="Calibri" w:hAnsi="Calibri" w:cs="Calibri"/>
          <w:bCs/>
          <w:sz w:val="22"/>
          <w:szCs w:val="22"/>
          <w:lang w:eastAsia="en-US"/>
        </w:rPr>
        <w:t xml:space="preserve"> </w:t>
      </w:r>
      <w:r w:rsidR="00E22BA0" w:rsidRPr="00F83D76">
        <w:rPr>
          <w:rFonts w:ascii="Calibri" w:eastAsia="Calibri" w:hAnsi="Calibri" w:cs="Calibri"/>
          <w:bCs/>
          <w:sz w:val="22"/>
          <w:szCs w:val="22"/>
          <w:lang w:eastAsia="en-US"/>
        </w:rPr>
        <w:t xml:space="preserve">- </w:t>
      </w:r>
      <w:r w:rsidR="00D96DFA" w:rsidRPr="00D96DFA">
        <w:rPr>
          <w:rFonts w:ascii="Calibri" w:eastAsia="Calibri" w:hAnsi="Calibri" w:cs="Calibri"/>
          <w:bCs/>
          <w:sz w:val="22"/>
          <w:szCs w:val="22"/>
          <w:lang w:eastAsia="en-US"/>
        </w:rPr>
        <w:t>Progetto FRA RAIA Quaternary Global Change box to help preserving the future of biodiversity CdA_101_2022</w:t>
      </w:r>
      <w:r w:rsidR="00993096">
        <w:rPr>
          <w:rFonts w:ascii="Calibri" w:eastAsia="Calibri" w:hAnsi="Calibri" w:cs="Calibri"/>
          <w:bCs/>
          <w:sz w:val="22"/>
          <w:szCs w:val="22"/>
          <w:lang w:eastAsia="en-US"/>
        </w:rPr>
        <w:t xml:space="preserve"> </w:t>
      </w:r>
      <w:r w:rsidR="002121AC" w:rsidRPr="00F83D76">
        <w:rPr>
          <w:rFonts w:ascii="Calibri" w:eastAsia="Calibri" w:hAnsi="Calibri" w:cs="Calibri"/>
          <w:bCs/>
          <w:sz w:val="22"/>
          <w:szCs w:val="22"/>
          <w:lang w:eastAsia="en-US"/>
        </w:rPr>
        <w:t xml:space="preserve">- </w:t>
      </w:r>
      <w:r w:rsidR="009F0D61" w:rsidRPr="009F0D61">
        <w:rPr>
          <w:rFonts w:ascii="Calibri" w:eastAsia="Calibri" w:hAnsi="Calibri" w:cs="Calibri"/>
          <w:bCs/>
          <w:sz w:val="22"/>
          <w:szCs w:val="22"/>
          <w:lang w:eastAsia="en-US"/>
        </w:rPr>
        <w:t>CA.04.41.03.01.02</w:t>
      </w:r>
      <w:r w:rsidRPr="00F83D76">
        <w:rPr>
          <w:rFonts w:ascii="Calibri" w:eastAsia="Calibri" w:hAnsi="Calibri" w:cs="Calibri"/>
          <w:bCs/>
          <w:sz w:val="22"/>
          <w:szCs w:val="22"/>
          <w:lang w:eastAsia="en-US"/>
        </w:rPr>
        <w:t xml:space="preserve">- </w:t>
      </w:r>
      <w:r w:rsidR="003659EF" w:rsidRPr="00F83D76">
        <w:rPr>
          <w:rFonts w:ascii="Calibri" w:eastAsia="Calibri" w:hAnsi="Calibri" w:cs="Calibri"/>
          <w:bCs/>
          <w:sz w:val="22"/>
          <w:szCs w:val="22"/>
          <w:lang w:eastAsia="en-US"/>
        </w:rPr>
        <w:t>del bilancio unico di Ateneo di previsione annuale autorizzatorio per l’esercizio finanziario</w:t>
      </w:r>
      <w:r w:rsidR="008F3EAB" w:rsidRPr="00F83D76">
        <w:rPr>
          <w:rFonts w:ascii="Calibri" w:eastAsia="Calibri" w:hAnsi="Calibri" w:cs="Calibri"/>
          <w:bCs/>
          <w:sz w:val="22"/>
          <w:szCs w:val="22"/>
          <w:lang w:eastAsia="en-US"/>
        </w:rPr>
        <w:t xml:space="preserve"> 202</w:t>
      </w:r>
      <w:r w:rsidR="00617661" w:rsidRPr="00F83D76">
        <w:rPr>
          <w:rFonts w:ascii="Calibri" w:eastAsia="Calibri" w:hAnsi="Calibri" w:cs="Calibri"/>
          <w:bCs/>
          <w:sz w:val="22"/>
          <w:szCs w:val="22"/>
          <w:lang w:eastAsia="en-US"/>
        </w:rPr>
        <w:t>4</w:t>
      </w:r>
      <w:r w:rsidRPr="00F83D76">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993096">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4DACE3E"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5B1566">
        <w:rPr>
          <w:rFonts w:ascii="Garamond" w:hAnsi="Garamond" w:cs="Garamond"/>
          <w:b/>
          <w:bCs/>
          <w:sz w:val="23"/>
          <w:szCs w:val="23"/>
        </w:rPr>
        <w:t>14</w:t>
      </w:r>
      <w:r w:rsidR="00D96DFA">
        <w:rPr>
          <w:rFonts w:ascii="Garamond" w:hAnsi="Garamond" w:cs="Garamond"/>
          <w:b/>
          <w:bCs/>
          <w:sz w:val="23"/>
          <w:szCs w:val="23"/>
        </w:rPr>
        <w:t>7</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2CB5C256"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D96DFA" w:rsidRPr="00D96DFA">
              <w:rPr>
                <w:rFonts w:eastAsia="Calibri"/>
                <w:b/>
                <w:bCs/>
                <w:sz w:val="20"/>
                <w:szCs w:val="20"/>
              </w:rPr>
              <w:t>spese relative ad una pubblicazione su rivista scientifica internazionale Taylor &amp; Francis Group dell’articolo “Modelling reveals the effect of climate and land use change on Madagascars chameleons fauna” sulla rivista Communications Biology – Pro Forma n. 2939706217 del 22/07/2024 – Prof. Pasquale Raia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2F26B703" w:rsidR="00EA2009" w:rsidRPr="009F0D61" w:rsidRDefault="00EA2009" w:rsidP="007550E5">
            <w:pPr>
              <w:autoSpaceDE w:val="0"/>
              <w:autoSpaceDN w:val="0"/>
              <w:adjustRightInd w:val="0"/>
              <w:ind w:right="83"/>
              <w:rPr>
                <w:b/>
                <w:i/>
                <w:sz w:val="18"/>
                <w:szCs w:val="18"/>
              </w:rPr>
            </w:pPr>
            <w:r>
              <w:rPr>
                <w:rFonts w:ascii="Times New Roman" w:eastAsia="Times New Roman" w:hAnsi="Times New Roman" w:cs="Times New Roman"/>
                <w:b/>
                <w:i/>
                <w:sz w:val="18"/>
                <w:szCs w:val="18"/>
              </w:rPr>
              <w:t xml:space="preserve">   </w:t>
            </w:r>
            <w:r w:rsidR="009F0D61">
              <w:rPr>
                <w:b/>
                <w:i/>
                <w:sz w:val="18"/>
                <w:szCs w:val="18"/>
              </w:rPr>
              <w:t>2</w:t>
            </w:r>
            <w:r w:rsidR="00D96DFA">
              <w:rPr>
                <w:b/>
                <w:i/>
                <w:sz w:val="18"/>
                <w:szCs w:val="18"/>
              </w:rPr>
              <w:t>6</w:t>
            </w:r>
            <w:r>
              <w:rPr>
                <w:b/>
                <w:i/>
                <w:sz w:val="18"/>
                <w:szCs w:val="18"/>
              </w:rPr>
              <w:t>/0</w:t>
            </w:r>
            <w:r w:rsidR="00D96DFA">
              <w:rPr>
                <w:b/>
                <w:i/>
                <w:sz w:val="18"/>
                <w:szCs w:val="18"/>
              </w:rPr>
              <w:t>7</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200C4"/>
    <w:rsid w:val="00032C0E"/>
    <w:rsid w:val="00035379"/>
    <w:rsid w:val="00036013"/>
    <w:rsid w:val="00036E43"/>
    <w:rsid w:val="00037AB9"/>
    <w:rsid w:val="00042ECE"/>
    <w:rsid w:val="00052B8B"/>
    <w:rsid w:val="00053CAB"/>
    <w:rsid w:val="00055B5A"/>
    <w:rsid w:val="000653D8"/>
    <w:rsid w:val="00074E23"/>
    <w:rsid w:val="00090F9D"/>
    <w:rsid w:val="00091B8E"/>
    <w:rsid w:val="000929FB"/>
    <w:rsid w:val="000948F6"/>
    <w:rsid w:val="000A0819"/>
    <w:rsid w:val="000A290F"/>
    <w:rsid w:val="000B39AE"/>
    <w:rsid w:val="000D16CC"/>
    <w:rsid w:val="000E5F9F"/>
    <w:rsid w:val="000F0C2C"/>
    <w:rsid w:val="000F7FB6"/>
    <w:rsid w:val="00103193"/>
    <w:rsid w:val="00104653"/>
    <w:rsid w:val="00123E98"/>
    <w:rsid w:val="0013117E"/>
    <w:rsid w:val="00143683"/>
    <w:rsid w:val="00145826"/>
    <w:rsid w:val="00150F6C"/>
    <w:rsid w:val="00155130"/>
    <w:rsid w:val="001560FC"/>
    <w:rsid w:val="00172B21"/>
    <w:rsid w:val="00172E16"/>
    <w:rsid w:val="00174142"/>
    <w:rsid w:val="0017466E"/>
    <w:rsid w:val="0018038A"/>
    <w:rsid w:val="0018167A"/>
    <w:rsid w:val="00186FB2"/>
    <w:rsid w:val="001903D6"/>
    <w:rsid w:val="00193A2E"/>
    <w:rsid w:val="00195E81"/>
    <w:rsid w:val="00197866"/>
    <w:rsid w:val="001A4316"/>
    <w:rsid w:val="001B067E"/>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2DF1"/>
    <w:rsid w:val="002E4BF5"/>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056E"/>
    <w:rsid w:val="003D7DC6"/>
    <w:rsid w:val="003E057B"/>
    <w:rsid w:val="003E4326"/>
    <w:rsid w:val="003F51BC"/>
    <w:rsid w:val="003F64CE"/>
    <w:rsid w:val="00406901"/>
    <w:rsid w:val="00406B2D"/>
    <w:rsid w:val="004100AF"/>
    <w:rsid w:val="00417D0C"/>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C11FA"/>
    <w:rsid w:val="004D346C"/>
    <w:rsid w:val="004D68E7"/>
    <w:rsid w:val="004D7F09"/>
    <w:rsid w:val="004E5151"/>
    <w:rsid w:val="004F703A"/>
    <w:rsid w:val="0050056D"/>
    <w:rsid w:val="005067BA"/>
    <w:rsid w:val="00506D20"/>
    <w:rsid w:val="00521AE1"/>
    <w:rsid w:val="005249D6"/>
    <w:rsid w:val="0053466C"/>
    <w:rsid w:val="00535CC1"/>
    <w:rsid w:val="00536C9A"/>
    <w:rsid w:val="00536DD9"/>
    <w:rsid w:val="00540C55"/>
    <w:rsid w:val="00543637"/>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566"/>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80E"/>
    <w:rsid w:val="00667F2F"/>
    <w:rsid w:val="00670868"/>
    <w:rsid w:val="00672B1F"/>
    <w:rsid w:val="00672BC9"/>
    <w:rsid w:val="006830D3"/>
    <w:rsid w:val="00692046"/>
    <w:rsid w:val="006924CA"/>
    <w:rsid w:val="00696807"/>
    <w:rsid w:val="006A37F9"/>
    <w:rsid w:val="006A70A5"/>
    <w:rsid w:val="006B1DE5"/>
    <w:rsid w:val="006B5C7C"/>
    <w:rsid w:val="006B641F"/>
    <w:rsid w:val="006E2A80"/>
    <w:rsid w:val="006E5FF5"/>
    <w:rsid w:val="006E6639"/>
    <w:rsid w:val="006E6D7B"/>
    <w:rsid w:val="006F0675"/>
    <w:rsid w:val="006F0DC0"/>
    <w:rsid w:val="006F4C08"/>
    <w:rsid w:val="00704B39"/>
    <w:rsid w:val="00707D77"/>
    <w:rsid w:val="00713CFB"/>
    <w:rsid w:val="007161BA"/>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74F60"/>
    <w:rsid w:val="0078081C"/>
    <w:rsid w:val="00787DB4"/>
    <w:rsid w:val="0079405D"/>
    <w:rsid w:val="007A0117"/>
    <w:rsid w:val="007B25B6"/>
    <w:rsid w:val="007C4BB0"/>
    <w:rsid w:val="007C4E69"/>
    <w:rsid w:val="007C52B6"/>
    <w:rsid w:val="007D0801"/>
    <w:rsid w:val="007D217A"/>
    <w:rsid w:val="007D3F2A"/>
    <w:rsid w:val="007D57CD"/>
    <w:rsid w:val="007E12C8"/>
    <w:rsid w:val="007E14FD"/>
    <w:rsid w:val="007E2D5C"/>
    <w:rsid w:val="007E6982"/>
    <w:rsid w:val="007F0448"/>
    <w:rsid w:val="007F0DAC"/>
    <w:rsid w:val="007F31D9"/>
    <w:rsid w:val="007F3AFA"/>
    <w:rsid w:val="008055E2"/>
    <w:rsid w:val="008111AE"/>
    <w:rsid w:val="00816B93"/>
    <w:rsid w:val="008208A0"/>
    <w:rsid w:val="0082232C"/>
    <w:rsid w:val="00823E90"/>
    <w:rsid w:val="008255AA"/>
    <w:rsid w:val="00826667"/>
    <w:rsid w:val="008325B7"/>
    <w:rsid w:val="008328DE"/>
    <w:rsid w:val="0083428D"/>
    <w:rsid w:val="00857209"/>
    <w:rsid w:val="00861C77"/>
    <w:rsid w:val="0086328C"/>
    <w:rsid w:val="008730FB"/>
    <w:rsid w:val="00876593"/>
    <w:rsid w:val="008912CB"/>
    <w:rsid w:val="00895D30"/>
    <w:rsid w:val="008A0624"/>
    <w:rsid w:val="008A4A4F"/>
    <w:rsid w:val="008A505E"/>
    <w:rsid w:val="008A5C4A"/>
    <w:rsid w:val="008A7EDD"/>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1C49"/>
    <w:rsid w:val="00956278"/>
    <w:rsid w:val="00964BE8"/>
    <w:rsid w:val="00965AD7"/>
    <w:rsid w:val="0098183C"/>
    <w:rsid w:val="00993096"/>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0D61"/>
    <w:rsid w:val="009F373A"/>
    <w:rsid w:val="009F7414"/>
    <w:rsid w:val="00A03D8D"/>
    <w:rsid w:val="00A04C1B"/>
    <w:rsid w:val="00A05FBA"/>
    <w:rsid w:val="00A130E5"/>
    <w:rsid w:val="00A24CFB"/>
    <w:rsid w:val="00A31CF0"/>
    <w:rsid w:val="00A34238"/>
    <w:rsid w:val="00A347CE"/>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7091E"/>
    <w:rsid w:val="00A72B87"/>
    <w:rsid w:val="00A775AD"/>
    <w:rsid w:val="00A902D3"/>
    <w:rsid w:val="00AA40DB"/>
    <w:rsid w:val="00AA4380"/>
    <w:rsid w:val="00AA5DFB"/>
    <w:rsid w:val="00AA606A"/>
    <w:rsid w:val="00AA65F3"/>
    <w:rsid w:val="00AB0613"/>
    <w:rsid w:val="00AB35A6"/>
    <w:rsid w:val="00AC66CD"/>
    <w:rsid w:val="00AC7A28"/>
    <w:rsid w:val="00AD2E8A"/>
    <w:rsid w:val="00AD3095"/>
    <w:rsid w:val="00AE2032"/>
    <w:rsid w:val="00AE3C5A"/>
    <w:rsid w:val="00AF043C"/>
    <w:rsid w:val="00AF4B3D"/>
    <w:rsid w:val="00AF5D0E"/>
    <w:rsid w:val="00B03D5B"/>
    <w:rsid w:val="00B0438E"/>
    <w:rsid w:val="00B0484D"/>
    <w:rsid w:val="00B0618E"/>
    <w:rsid w:val="00B06EFF"/>
    <w:rsid w:val="00B12F9F"/>
    <w:rsid w:val="00B132F4"/>
    <w:rsid w:val="00B24F85"/>
    <w:rsid w:val="00B25E0C"/>
    <w:rsid w:val="00B30045"/>
    <w:rsid w:val="00B322FC"/>
    <w:rsid w:val="00B36A69"/>
    <w:rsid w:val="00B37C00"/>
    <w:rsid w:val="00B507C1"/>
    <w:rsid w:val="00B5363B"/>
    <w:rsid w:val="00B55503"/>
    <w:rsid w:val="00B56EE3"/>
    <w:rsid w:val="00B652AE"/>
    <w:rsid w:val="00B6676C"/>
    <w:rsid w:val="00B673CA"/>
    <w:rsid w:val="00B71239"/>
    <w:rsid w:val="00B73C74"/>
    <w:rsid w:val="00B74C33"/>
    <w:rsid w:val="00B773F2"/>
    <w:rsid w:val="00B902F6"/>
    <w:rsid w:val="00B909BE"/>
    <w:rsid w:val="00B93A2B"/>
    <w:rsid w:val="00B95CC2"/>
    <w:rsid w:val="00B95D0F"/>
    <w:rsid w:val="00B97A78"/>
    <w:rsid w:val="00B97B48"/>
    <w:rsid w:val="00BA14CD"/>
    <w:rsid w:val="00BB1C13"/>
    <w:rsid w:val="00BB1FD8"/>
    <w:rsid w:val="00BB542C"/>
    <w:rsid w:val="00BB7F1D"/>
    <w:rsid w:val="00BC1E8B"/>
    <w:rsid w:val="00BC3760"/>
    <w:rsid w:val="00BD5361"/>
    <w:rsid w:val="00BE039A"/>
    <w:rsid w:val="00BE30F7"/>
    <w:rsid w:val="00BF05ED"/>
    <w:rsid w:val="00BF3373"/>
    <w:rsid w:val="00BF4603"/>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7A1E"/>
    <w:rsid w:val="00D62417"/>
    <w:rsid w:val="00D70367"/>
    <w:rsid w:val="00D7461F"/>
    <w:rsid w:val="00D825B1"/>
    <w:rsid w:val="00D8272F"/>
    <w:rsid w:val="00D85464"/>
    <w:rsid w:val="00D86B89"/>
    <w:rsid w:val="00D877C5"/>
    <w:rsid w:val="00D96DFA"/>
    <w:rsid w:val="00DA168B"/>
    <w:rsid w:val="00DA3656"/>
    <w:rsid w:val="00DC0177"/>
    <w:rsid w:val="00DC1AD8"/>
    <w:rsid w:val="00DC2571"/>
    <w:rsid w:val="00DC287A"/>
    <w:rsid w:val="00DC351F"/>
    <w:rsid w:val="00DD4E42"/>
    <w:rsid w:val="00DE1C2C"/>
    <w:rsid w:val="00DF1F6B"/>
    <w:rsid w:val="00E0216F"/>
    <w:rsid w:val="00E0325C"/>
    <w:rsid w:val="00E04CFA"/>
    <w:rsid w:val="00E10D25"/>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2474"/>
    <w:rsid w:val="00EB3A1C"/>
    <w:rsid w:val="00EB431E"/>
    <w:rsid w:val="00EC79E4"/>
    <w:rsid w:val="00ED14A6"/>
    <w:rsid w:val="00ED18DF"/>
    <w:rsid w:val="00ED1C95"/>
    <w:rsid w:val="00ED4ECB"/>
    <w:rsid w:val="00ED54FC"/>
    <w:rsid w:val="00EE3A55"/>
    <w:rsid w:val="00EE613F"/>
    <w:rsid w:val="00EE7C1E"/>
    <w:rsid w:val="00EF0DCF"/>
    <w:rsid w:val="00F03B99"/>
    <w:rsid w:val="00F050AB"/>
    <w:rsid w:val="00F1098D"/>
    <w:rsid w:val="00F10FB0"/>
    <w:rsid w:val="00F121E4"/>
    <w:rsid w:val="00F13068"/>
    <w:rsid w:val="00F16269"/>
    <w:rsid w:val="00F22AB4"/>
    <w:rsid w:val="00F24BAD"/>
    <w:rsid w:val="00F261AC"/>
    <w:rsid w:val="00F2652F"/>
    <w:rsid w:val="00F36A30"/>
    <w:rsid w:val="00F420BC"/>
    <w:rsid w:val="00F421CF"/>
    <w:rsid w:val="00F47E1D"/>
    <w:rsid w:val="00F516EF"/>
    <w:rsid w:val="00F52715"/>
    <w:rsid w:val="00F5367E"/>
    <w:rsid w:val="00F769EF"/>
    <w:rsid w:val="00F83D76"/>
    <w:rsid w:val="00F92D5F"/>
    <w:rsid w:val="00FA4E54"/>
    <w:rsid w:val="00FA6462"/>
    <w:rsid w:val="00FA74E5"/>
    <w:rsid w:val="00FA7AF6"/>
    <w:rsid w:val="00FC5369"/>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554</TotalTime>
  <Pages>5</Pages>
  <Words>1769</Words>
  <Characters>11147</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330</cp:revision>
  <cp:lastPrinted>2016-03-02T01:13:00Z</cp:lastPrinted>
  <dcterms:created xsi:type="dcterms:W3CDTF">2023-05-02T20:15:00Z</dcterms:created>
  <dcterms:modified xsi:type="dcterms:W3CDTF">2024-09-06T08:37:00Z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